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BA" w:rsidRPr="003C1757" w:rsidRDefault="00AB1FBA" w:rsidP="00AB1F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1757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มหาวิทยาลัยขอความร่วมมือหน่วยงานของท่านพิจารณาโครงการ/กิจกรรม ที่เกี่ยวข้องหรือสอดคล้องกับแผนปฏิบัติการ</w:t>
      </w:r>
      <w:r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ป้องกันการทุจริต ของหน่วยงานของท่าน เพื่อบรรจุโครงการดังกล่าวใน</w:t>
      </w:r>
      <w:r w:rsidRPr="003C1757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แผนปฏิบัติการ</w:t>
      </w:r>
      <w:r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ป้องกันการทุจริต มหาวิทยาลัยราช</w:t>
      </w:r>
      <w:proofErr w:type="spellStart"/>
      <w:r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ภัฏ</w:t>
      </w:r>
      <w:proofErr w:type="spellEnd"/>
      <w:r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สกลนคร ประจำปีงบประมาณ พ.ศ. 256</w:t>
      </w:r>
      <w:r w:rsidR="003C1757"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9</w:t>
      </w:r>
      <w:r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3C1757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3C1757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br/>
        <w:t>กำหนดส่งภายใน</w:t>
      </w:r>
      <w:r w:rsidR="003C1757" w:rsidRPr="003C1757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>ภายในวันพุธที่ 13 สิงหาคม 2568</w:t>
      </w:r>
      <w:r w:rsidRPr="003C1757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br/>
        <w:t xml:space="preserve">ทาง </w:t>
      </w:r>
      <w:r w:rsidRPr="003C1757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>E</w:t>
      </w:r>
      <w:r w:rsidRPr="003C1757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>-</w:t>
      </w:r>
      <w:r w:rsidRPr="003C1757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>mail</w:t>
      </w:r>
      <w:r w:rsidRPr="003C1757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: </w:t>
      </w:r>
      <w:hyperlink r:id="rId6" w:history="1">
        <w:r w:rsidRPr="003C1757">
          <w:rPr>
            <w:rStyle w:val="a8"/>
            <w:rFonts w:ascii="TH SarabunPSK" w:eastAsia="Cordia New" w:hAnsi="TH SarabunPSK" w:cs="TH SarabunPSK"/>
            <w:b/>
            <w:bCs/>
            <w:spacing w:val="-6"/>
            <w:sz w:val="32"/>
            <w:szCs w:val="32"/>
            <w:lang w:eastAsia="zh-CN"/>
          </w:rPr>
          <w:t>plan@snru</w:t>
        </w:r>
        <w:r w:rsidRPr="003C1757">
          <w:rPr>
            <w:rStyle w:val="a8"/>
            <w:rFonts w:ascii="TH SarabunPSK" w:eastAsia="Cordia New" w:hAnsi="TH SarabunPSK" w:cs="TH SarabunPSK"/>
            <w:b/>
            <w:bCs/>
            <w:spacing w:val="-6"/>
            <w:sz w:val="32"/>
            <w:szCs w:val="32"/>
            <w:cs/>
            <w:lang w:eastAsia="zh-CN"/>
          </w:rPr>
          <w:t>.</w:t>
        </w:r>
        <w:r w:rsidRPr="003C1757">
          <w:rPr>
            <w:rStyle w:val="a8"/>
            <w:rFonts w:ascii="TH SarabunPSK" w:eastAsia="Cordia New" w:hAnsi="TH SarabunPSK" w:cs="TH SarabunPSK"/>
            <w:b/>
            <w:bCs/>
            <w:spacing w:val="-6"/>
            <w:sz w:val="32"/>
            <w:szCs w:val="32"/>
            <w:lang w:eastAsia="zh-CN"/>
          </w:rPr>
          <w:t>ac</w:t>
        </w:r>
        <w:r w:rsidRPr="003C1757">
          <w:rPr>
            <w:rStyle w:val="a8"/>
            <w:rFonts w:ascii="TH SarabunPSK" w:eastAsia="Cordia New" w:hAnsi="TH SarabunPSK" w:cs="TH SarabunPSK"/>
            <w:b/>
            <w:bCs/>
            <w:spacing w:val="-6"/>
            <w:sz w:val="32"/>
            <w:szCs w:val="32"/>
            <w:cs/>
            <w:lang w:eastAsia="zh-CN"/>
          </w:rPr>
          <w:t>.</w:t>
        </w:r>
        <w:proofErr w:type="spellStart"/>
        <w:r w:rsidRPr="003C1757">
          <w:rPr>
            <w:rStyle w:val="a8"/>
            <w:rFonts w:ascii="TH SarabunPSK" w:eastAsia="Cordia New" w:hAnsi="TH SarabunPSK" w:cs="TH SarabunPSK"/>
            <w:b/>
            <w:bCs/>
            <w:spacing w:val="-6"/>
            <w:sz w:val="32"/>
            <w:szCs w:val="32"/>
            <w:lang w:eastAsia="zh-CN"/>
          </w:rPr>
          <w:t>th</w:t>
        </w:r>
        <w:proofErr w:type="spellEnd"/>
      </w:hyperlink>
      <w:r w:rsidRPr="003C1757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สอบถามเพิ่มเติมได้ที่คุณชนก</w:t>
      </w:r>
      <w:proofErr w:type="spellStart"/>
      <w:r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ญา</w:t>
      </w:r>
      <w:proofErr w:type="spellEnd"/>
      <w:r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ดา  โคตรสาลี ตำแหน่งนักวิเคราะ</w:t>
      </w:r>
      <w:bookmarkStart w:id="0" w:name="_GoBack"/>
      <w:bookmarkEnd w:id="0"/>
      <w:r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ห์นโยบายและแผน </w:t>
      </w:r>
      <w:r w:rsidRPr="003C1757">
        <w:rPr>
          <w:rFonts w:ascii="TH SarabunPSK" w:eastAsia="Cordia New" w:hAnsi="TH SarabunPSK" w:cs="TH SarabunPSK"/>
          <w:sz w:val="32"/>
          <w:szCs w:val="32"/>
          <w:lang w:eastAsia="zh-CN"/>
        </w:rPr>
        <w:t>IP PHONE 7</w:t>
      </w:r>
      <w:r w:rsidR="003C1757" w:rsidRPr="003C175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2</w:t>
      </w:r>
      <w:r w:rsidRPr="003C1757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(ร่าง) </w:t>
      </w:r>
      <w:r w:rsidRPr="003C1757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eastAsia="zh-CN"/>
        </w:rPr>
        <w:t>แผนปฏิบัติการ</w:t>
      </w:r>
      <w:r w:rsidRPr="003C1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ป้องกันและปราบปรามการทุจริตมหาวิทยาลัยราช</w:t>
      </w:r>
      <w:proofErr w:type="spellStart"/>
      <w:r w:rsidRPr="003C1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ภัฏ</w:t>
      </w:r>
      <w:proofErr w:type="spellEnd"/>
      <w:r w:rsidRPr="003C1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สกลนคร ประจำปีงบประมาณ พ.ศ. 256</w:t>
      </w:r>
      <w:r w:rsidR="003C1757" w:rsidRPr="003C1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9</w:t>
      </w:r>
      <w:r w:rsidRPr="003C17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br/>
      </w:r>
      <w:r w:rsidRPr="003C1757">
        <w:rPr>
          <w:rFonts w:ascii="TH SarabunPSK" w:hAnsi="TH SarabunPSK" w:cs="TH SarabunPSK"/>
          <w:b/>
          <w:bCs/>
          <w:sz w:val="32"/>
          <w:szCs w:val="32"/>
          <w:cs/>
        </w:rPr>
        <w:t>คณะ/สำนัก/สถาบัน......................................................</w:t>
      </w:r>
    </w:p>
    <w:p w:rsidR="00523D88" w:rsidRDefault="00523D88" w:rsidP="00523D88">
      <w:pPr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D08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ยุทธศาสตร์ที่ 1</w:t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สร้างสังคมที่ไม่ทนต่อการทุจริต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8D08A9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 w:rsidRPr="008D08A9">
        <w:rPr>
          <w:rFonts w:ascii="TH SarabunPSK" w:eastAsiaTheme="minorEastAsia" w:hAnsi="TH SarabunPSK" w:cs="TH SarabunPSK" w:hint="cs"/>
          <w:sz w:val="32"/>
          <w:szCs w:val="32"/>
          <w:cs/>
        </w:rPr>
        <w:t>บุคลากรและนักศึกษามีทัศนคติ ค่านิยมในการต่อต้านการทุจริต</w:t>
      </w:r>
    </w:p>
    <w:tbl>
      <w:tblPr>
        <w:tblW w:w="1448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543"/>
        <w:gridCol w:w="1418"/>
        <w:gridCol w:w="4252"/>
        <w:gridCol w:w="1276"/>
        <w:gridCol w:w="1985"/>
      </w:tblGrid>
      <w:tr w:rsidR="00523D88" w:rsidRPr="00182AB7" w:rsidTr="00B92B6E">
        <w:trPr>
          <w:trHeight w:val="507"/>
          <w:tblHeader/>
        </w:trPr>
        <w:tc>
          <w:tcPr>
            <w:tcW w:w="2014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</w:rPr>
            </w:pPr>
            <w:r w:rsidRPr="00182AB7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543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82AB7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82AB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ช่วงระยะเวลาดำเนินการ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82A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182AB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/เป้าหมาย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82AB7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  <w:r w:rsidRPr="00182AB7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br/>
            </w:r>
            <w:r w:rsidRPr="00182AB7">
              <w:rPr>
                <w:rFonts w:ascii="TH SarabunPSK" w:eastAsiaTheme="minorEastAsia" w:hAnsi="TH SarabunPSK" w:cs="TH SarabunPSK" w:hint="cs"/>
                <w:b/>
                <w:bCs/>
                <w:noProof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82AB7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23D88" w:rsidRPr="00182AB7" w:rsidTr="00B92B6E">
        <w:trPr>
          <w:trHeight w:val="797"/>
        </w:trPr>
        <w:tc>
          <w:tcPr>
            <w:tcW w:w="2014" w:type="dxa"/>
            <w:vMerge w:val="restart"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182AB7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กลยุทธ์ : </w:t>
            </w:r>
          </w:p>
          <w:p w:rsidR="00523D88" w:rsidRPr="00182AB7" w:rsidRDefault="00523D88" w:rsidP="00B92B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182AB7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1.1 ปลูกจิตสำนึก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การสร้าง</w:t>
            </w:r>
            <w:r w:rsidRPr="00182AB7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วัฒนธรรม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และความตระหนักแก่บุคลากรและนักศึกษา</w:t>
            </w:r>
          </w:p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:rsidR="00523D88" w:rsidRPr="00182AB7" w:rsidRDefault="00523D88" w:rsidP="00B92B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rPr>
                <w:rFonts w:eastAsiaTheme="minorEastAsia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tabs>
                <w:tab w:val="left" w:pos="318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523D88" w:rsidRPr="00182AB7" w:rsidTr="00523D88">
        <w:trPr>
          <w:trHeight w:val="716"/>
        </w:trPr>
        <w:tc>
          <w:tcPr>
            <w:tcW w:w="2014" w:type="dxa"/>
            <w:vMerge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523D88" w:rsidRPr="00182AB7" w:rsidTr="00523D88">
        <w:trPr>
          <w:trHeight w:val="716"/>
        </w:trPr>
        <w:tc>
          <w:tcPr>
            <w:tcW w:w="2014" w:type="dxa"/>
            <w:vMerge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523D88" w:rsidRPr="00182AB7" w:rsidTr="00523D88">
        <w:trPr>
          <w:trHeight w:val="716"/>
        </w:trPr>
        <w:tc>
          <w:tcPr>
            <w:tcW w:w="2014" w:type="dxa"/>
            <w:vMerge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523D88" w:rsidRPr="00182AB7" w:rsidTr="00523D88">
        <w:trPr>
          <w:trHeight w:val="716"/>
        </w:trPr>
        <w:tc>
          <w:tcPr>
            <w:tcW w:w="2014" w:type="dxa"/>
            <w:vMerge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523D88" w:rsidRPr="00182AB7" w:rsidTr="00523D88">
        <w:trPr>
          <w:trHeight w:val="375"/>
        </w:trPr>
        <w:tc>
          <w:tcPr>
            <w:tcW w:w="2014" w:type="dxa"/>
            <w:vMerge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ind w:right="-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</w:tbl>
    <w:p w:rsidR="00523D88" w:rsidRDefault="00523D88" w:rsidP="00523D88">
      <w:r w:rsidRPr="008D08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ยุทธศาสตร์ที่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พัฒนาระบบป้องกันการทุจริตเชิงรุก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8D08A9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พัฒนาระบบการกำกับติดตามตรวจสอบการป้องกันและปราบปรามการทุจริต</w:t>
      </w:r>
    </w:p>
    <w:tbl>
      <w:tblPr>
        <w:tblW w:w="1448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402"/>
        <w:gridCol w:w="1418"/>
        <w:gridCol w:w="4252"/>
        <w:gridCol w:w="1276"/>
        <w:gridCol w:w="1985"/>
      </w:tblGrid>
      <w:tr w:rsidR="00523D88" w:rsidRPr="008D08A9" w:rsidTr="00B92B6E">
        <w:trPr>
          <w:trHeight w:val="757"/>
          <w:tblHeader/>
        </w:trPr>
        <w:tc>
          <w:tcPr>
            <w:tcW w:w="2155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080BE0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BE0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BE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ช่วงระยะเวลาดำเนินการ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080B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080BE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/เป้าหมาย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080BE0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  <w:r w:rsidRPr="00080BE0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br/>
            </w:r>
            <w:r w:rsidRPr="00080BE0">
              <w:rPr>
                <w:rFonts w:ascii="TH SarabunPSK" w:eastAsiaTheme="minorEastAsia" w:hAnsi="TH SarabunPSK" w:cs="TH SarabunPSK" w:hint="cs"/>
                <w:b/>
                <w:bCs/>
                <w:noProof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080BE0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23D88" w:rsidRPr="008D08A9" w:rsidTr="00B92B6E">
        <w:trPr>
          <w:trHeight w:val="1321"/>
        </w:trPr>
        <w:tc>
          <w:tcPr>
            <w:tcW w:w="2155" w:type="dxa"/>
            <w:vMerge w:val="restart"/>
          </w:tcPr>
          <w:p w:rsidR="00523D88" w:rsidRPr="008D08A9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D08A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กลยุทธ์ : </w:t>
            </w:r>
          </w:p>
          <w:p w:rsidR="00523D88" w:rsidRPr="008D08A9" w:rsidRDefault="00523D88" w:rsidP="00B92B6E">
            <w:pPr>
              <w:pStyle w:val="a5"/>
              <w:ind w:left="367" w:hanging="378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2.1</w:t>
            </w: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 เพิ่มประสิทธิภาพ</w:t>
            </w:r>
          </w:p>
          <w:p w:rsidR="00523D88" w:rsidRPr="008D08A9" w:rsidRDefault="00523D88" w:rsidP="00B92B6E">
            <w:pPr>
              <w:pStyle w:val="a5"/>
              <w:ind w:left="367" w:hanging="378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ระบบงานป้องกันการ</w:t>
            </w:r>
          </w:p>
          <w:p w:rsidR="00523D88" w:rsidRPr="008D08A9" w:rsidRDefault="00523D88" w:rsidP="00B92B6E">
            <w:pPr>
              <w:pStyle w:val="a5"/>
              <w:ind w:left="367" w:hanging="378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ทุจริต</w:t>
            </w:r>
          </w:p>
          <w:p w:rsidR="00523D88" w:rsidRPr="00080BE0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</w:pPr>
          </w:p>
        </w:tc>
        <w:tc>
          <w:tcPr>
            <w:tcW w:w="3402" w:type="dxa"/>
          </w:tcPr>
          <w:p w:rsidR="00523D88" w:rsidRPr="00352178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352178" w:rsidRDefault="00523D88" w:rsidP="00B92B6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352178" w:rsidRDefault="00523D88" w:rsidP="00B92B6E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985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8D08A9" w:rsidTr="00B92B6E">
        <w:trPr>
          <w:trHeight w:val="940"/>
        </w:trPr>
        <w:tc>
          <w:tcPr>
            <w:tcW w:w="2155" w:type="dxa"/>
            <w:vMerge/>
          </w:tcPr>
          <w:p w:rsidR="00523D88" w:rsidRPr="00080BE0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352178" w:rsidRDefault="00523D88" w:rsidP="00B92B6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418" w:type="dxa"/>
          </w:tcPr>
          <w:p w:rsidR="00523D88" w:rsidRPr="00352178" w:rsidRDefault="00523D88" w:rsidP="00B92B6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352178" w:rsidRDefault="00523D88" w:rsidP="00B92B6E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985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8D08A9" w:rsidTr="00B92B6E">
        <w:trPr>
          <w:trHeight w:val="623"/>
        </w:trPr>
        <w:tc>
          <w:tcPr>
            <w:tcW w:w="2155" w:type="dxa"/>
            <w:vMerge w:val="restart"/>
          </w:tcPr>
          <w:p w:rsidR="00523D88" w:rsidRPr="008D08A9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2</w:t>
            </w: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2 </w:t>
            </w: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พัฒนาบุคลากรด้านการป้องกัน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</w: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3402" w:type="dxa"/>
          </w:tcPr>
          <w:p w:rsidR="00523D88" w:rsidRPr="00352178" w:rsidRDefault="00523D88" w:rsidP="00B92B6E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352178" w:rsidRDefault="00523D88" w:rsidP="00B92B6E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352178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8D08A9" w:rsidTr="00B92B6E">
        <w:trPr>
          <w:trHeight w:val="623"/>
        </w:trPr>
        <w:tc>
          <w:tcPr>
            <w:tcW w:w="2155" w:type="dxa"/>
            <w:vMerge/>
          </w:tcPr>
          <w:p w:rsidR="00523D88" w:rsidRPr="008D08A9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352178" w:rsidRDefault="00523D88" w:rsidP="00B92B6E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352178" w:rsidRDefault="00523D88" w:rsidP="00B92B6E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8D08A9" w:rsidTr="00B92B6E">
        <w:trPr>
          <w:trHeight w:val="623"/>
        </w:trPr>
        <w:tc>
          <w:tcPr>
            <w:tcW w:w="2155" w:type="dxa"/>
            <w:vMerge/>
          </w:tcPr>
          <w:p w:rsidR="00523D88" w:rsidRPr="008D08A9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276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8D08A9" w:rsidTr="00B92B6E">
        <w:trPr>
          <w:trHeight w:val="623"/>
        </w:trPr>
        <w:tc>
          <w:tcPr>
            <w:tcW w:w="2155" w:type="dxa"/>
            <w:vMerge/>
          </w:tcPr>
          <w:p w:rsidR="00523D88" w:rsidRPr="008D08A9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276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</w:tbl>
    <w:p w:rsidR="00523D88" w:rsidRDefault="00523D88" w:rsidP="00523D88"/>
    <w:p w:rsidR="00523D88" w:rsidRDefault="00523D88" w:rsidP="00523D88"/>
    <w:p w:rsidR="00523D88" w:rsidRDefault="00523D88" w:rsidP="00523D88"/>
    <w:p w:rsidR="00523D88" w:rsidRDefault="00523D88" w:rsidP="00523D88"/>
    <w:p w:rsidR="00523D88" w:rsidRDefault="00523D88" w:rsidP="00523D88">
      <w:r w:rsidRPr="008D08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ยุทธศาสตร์ที่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3</w:t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ปฏิรูปกลไกและกระบวนการปราบปรามการทุจริต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8D08A9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การวางระบบในการบริหารผลการปฏิบัติงานและการป้องกันการรับสินบน</w:t>
      </w:r>
    </w:p>
    <w:tbl>
      <w:tblPr>
        <w:tblW w:w="1448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402"/>
        <w:gridCol w:w="1418"/>
        <w:gridCol w:w="4252"/>
        <w:gridCol w:w="1418"/>
        <w:gridCol w:w="1843"/>
      </w:tblGrid>
      <w:tr w:rsidR="00523D88" w:rsidRPr="00EB4C84" w:rsidTr="00B92B6E">
        <w:trPr>
          <w:trHeight w:val="1060"/>
          <w:tblHeader/>
        </w:trPr>
        <w:tc>
          <w:tcPr>
            <w:tcW w:w="2155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highlight w:val="cyan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ช่วงระยะเวลาดำเนินการ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spacing w:after="0" w:line="240" w:lineRule="auto"/>
              <w:ind w:left="299" w:hanging="3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  <w:r w:rsidRPr="00EB4C84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br/>
              <w:t>(บาท)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กลยุทธ์ : </w:t>
            </w:r>
          </w:p>
          <w:p w:rsidR="00523D88" w:rsidRPr="00EB4C84" w:rsidRDefault="00523D88" w:rsidP="00B92B6E">
            <w:pPr>
              <w:pStyle w:val="a5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3.1  การวางระบบในการดำเนินการกับเจ้าหน้าที่ ผู้มีผลสัมฤทธิ์การปฏิบัติงานต่ำกว่ามาตรฐาน</w:t>
            </w: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การจัดทำประกาศมหาวิทยาลัยราช</w:t>
            </w:r>
            <w:proofErr w:type="spellStart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สกลนคร เรื่อง การดำเนินการกับเจ้าหน้าที่ผู้มีผลสัมฤทธิ์การปฏิบัติงานต่ำกว่ามาตรฐาน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B4C84">
              <w:rPr>
                <w:rFonts w:ascii="TH SarabunPSK" w:hAnsi="TH SarabunPSK" w:cs="TH SarabunPSK"/>
                <w:sz w:val="32"/>
                <w:szCs w:val="32"/>
              </w:rPr>
              <w:t>O30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spacing w:after="0" w:line="240" w:lineRule="auto"/>
              <w:ind w:left="299" w:hanging="392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:rsidR="00523D88" w:rsidRPr="00EB4C84" w:rsidRDefault="00523D88" w:rsidP="00B92B6E">
            <w:pPr>
              <w:pStyle w:val="a3"/>
              <w:spacing w:after="0" w:line="240" w:lineRule="auto"/>
              <w:ind w:left="144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จำนวนครั้งในการรายงานผลการ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ดำเนิน</w:t>
            </w:r>
          </w:p>
          <w:p w:rsidR="00523D88" w:rsidRPr="00EB4C84" w:rsidRDefault="00523D88" w:rsidP="00B92B6E">
            <w:pPr>
              <w:spacing w:after="0" w:line="240" w:lineRule="auto"/>
              <w:ind w:left="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การฯ จำนวน 2 ครั้ง/ ปี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ไม่ใช้งบประมาณ </w:t>
            </w: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>นิติการ</w:t>
            </w:r>
          </w:p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  <w:cs/>
              </w:rPr>
            </w:pP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3.2  การวางระบบในการป้องกันการรับสินบน</w:t>
            </w: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3.2.1 การประเมินความเสี่ยงการทุจริตในประเด็นที่เกี่ยวข้องกับสินบน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4252" w:type="dxa"/>
          </w:tcPr>
          <w:p w:rsidR="00523D88" w:rsidRPr="00EB4C84" w:rsidRDefault="00523D88" w:rsidP="00523D88">
            <w:pPr>
              <w:ind w:left="3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แผนประเมินความเสี่ยงการทุจริตและประพฤติมิชอบประจำปีงบประมาณ พ.ศ.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B4C8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จำนวน 1 แผน</w:t>
            </w:r>
          </w:p>
        </w:tc>
        <w:tc>
          <w:tcPr>
            <w:tcW w:w="1418" w:type="dxa"/>
          </w:tcPr>
          <w:p w:rsidR="00523D88" w:rsidRPr="00523D88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523D8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กองกลาง/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สำนักงานอธิการบดี</w:t>
            </w:r>
          </w:p>
        </w:tc>
      </w:tr>
      <w:tr w:rsidR="00523D88" w:rsidRPr="00EB4C84" w:rsidTr="00B92B6E">
        <w:trPr>
          <w:trHeight w:val="841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3.2.2 การจัดทำประกาศมหาวิทยาลัยราช</w:t>
            </w:r>
            <w:proofErr w:type="spellStart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สกลนคร เรื่อง นโยบายและแนวปฏิบัติการป้องกันการทุจริตในการปฏิบัติงานและการรับสินบน 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4" w:hanging="140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</w:t>
            </w:r>
          </w:p>
          <w:p w:rsidR="00523D88" w:rsidRPr="00EB4C84" w:rsidRDefault="00523D88" w:rsidP="00B92B6E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ดำเนิน</w:t>
            </w:r>
          </w:p>
          <w:p w:rsidR="00523D88" w:rsidRPr="00EB4C84" w:rsidRDefault="00523D88" w:rsidP="00B92B6E">
            <w:pPr>
              <w:spacing w:after="0" w:line="240" w:lineRule="auto"/>
              <w:ind w:left="4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การฯจำนวน 2 ครั้ง/ ปี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ไม่ใช้งบประมาณ </w:t>
            </w: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 xml:space="preserve">นิติการ </w:t>
            </w: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3.2.3 จัดทำประกาศมหาวิทยาลัยราช</w:t>
            </w:r>
            <w:proofErr w:type="spellStart"/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สกลนคร เรื่อง มาตรการตรวจสอบการใช้ดุลพินิจ 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4" w:hanging="140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</w:t>
            </w:r>
          </w:p>
          <w:p w:rsidR="00523D88" w:rsidRPr="00EB4C84" w:rsidRDefault="00523D88" w:rsidP="00B92B6E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ดำเนินการฯ จำนวน 1 ครั้ง/ ปี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ไม่ใช้งบประมาณ </w:t>
            </w: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 xml:space="preserve">นิติการ </w:t>
            </w: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3.2.4 การจัดทำประกาศหรือระเบียบเกี่ยวกับการรับสินบน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4" w:hanging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เผยแพร่ประกาศหรือระเบียบเกี่ยวกับการรับสินบน จำนวน 1 ครั้ง/ปี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>นิติการ</w:t>
            </w: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4" w:hanging="1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pStyle w:val="a3"/>
              <w:spacing w:after="0" w:line="240" w:lineRule="auto"/>
              <w:ind w:left="14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</w:tbl>
    <w:p w:rsidR="00523D88" w:rsidRPr="00523D88" w:rsidRDefault="00523D88"/>
    <w:sectPr w:rsidR="00523D88" w:rsidRPr="00523D88" w:rsidSect="00523D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280F"/>
    <w:multiLevelType w:val="hybridMultilevel"/>
    <w:tmpl w:val="9812538A"/>
    <w:lvl w:ilvl="0" w:tplc="E8B27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8B02A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88"/>
    <w:rsid w:val="003C1757"/>
    <w:rsid w:val="00523D88"/>
    <w:rsid w:val="00A37F48"/>
    <w:rsid w:val="00AB1FBA"/>
    <w:rsid w:val="00D246D3"/>
    <w:rsid w:val="00EB37D1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C0412"/>
  <w15:chartTrackingRefBased/>
  <w15:docId w15:val="{77B9DDA7-1016-4BBC-BED8-E480D24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ÂèÍÂ3,List Paragraph1,Table Heading"/>
    <w:basedOn w:val="a"/>
    <w:link w:val="a4"/>
    <w:uiPriority w:val="34"/>
    <w:qFormat/>
    <w:rsid w:val="00523D88"/>
    <w:pPr>
      <w:spacing w:after="200" w:line="276" w:lineRule="auto"/>
      <w:ind w:left="720"/>
      <w:contextualSpacing/>
    </w:pPr>
    <w:rPr>
      <w:rFonts w:ascii="Calibri" w:eastAsia="Times New Roman" w:hAnsi="Calibri" w:cs="Cordia New"/>
      <w:kern w:val="0"/>
      <w14:ligatures w14:val="none"/>
    </w:rPr>
  </w:style>
  <w:style w:type="paragraph" w:styleId="a5">
    <w:name w:val="No Spacing"/>
    <w:link w:val="a6"/>
    <w:uiPriority w:val="1"/>
    <w:qFormat/>
    <w:rsid w:val="00523D88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523D88"/>
    <w:rPr>
      <w:rFonts w:ascii="Calibri" w:eastAsia="Times New Roman" w:hAnsi="Calibri" w:cs="Cordia New"/>
      <w:kern w:val="0"/>
      <w14:ligatures w14:val="none"/>
    </w:rPr>
  </w:style>
  <w:style w:type="character" w:styleId="a7">
    <w:name w:val="Strong"/>
    <w:basedOn w:val="a0"/>
    <w:uiPriority w:val="22"/>
    <w:qFormat/>
    <w:rsid w:val="00523D88"/>
    <w:rPr>
      <w:b/>
      <w:bCs/>
    </w:rPr>
  </w:style>
  <w:style w:type="character" w:customStyle="1" w:styleId="a4">
    <w:name w:val="รายการย่อหน้า อักขระ"/>
    <w:aliases w:val="00 List Bull อักขระ,ÂèÍÂ3 อักขระ,List Paragraph1 อักขระ,Table Heading อักขระ"/>
    <w:link w:val="a3"/>
    <w:uiPriority w:val="34"/>
    <w:rsid w:val="00523D88"/>
    <w:rPr>
      <w:rFonts w:ascii="Calibri" w:eastAsia="Times New Roman" w:hAnsi="Calibri" w:cs="Cordia New"/>
      <w:kern w:val="0"/>
      <w14:ligatures w14:val="none"/>
    </w:rPr>
  </w:style>
  <w:style w:type="character" w:styleId="a8">
    <w:name w:val="Hyperlink"/>
    <w:basedOn w:val="a0"/>
    <w:uiPriority w:val="99"/>
    <w:unhideWhenUsed/>
    <w:rsid w:val="00AB1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n@snru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6D7C-9E72-4B70-B206-644EC950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458</Words>
  <Characters>2264</Characters>
  <Application>Microsoft Office Word</Application>
  <DocSecurity>0</DocSecurity>
  <Lines>226</Lines>
  <Paragraphs>64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Chanokyada</dc:creator>
  <cp:keywords/>
  <dc:description/>
  <cp:lastModifiedBy>Chanokyada</cp:lastModifiedBy>
  <cp:revision>3</cp:revision>
  <dcterms:created xsi:type="dcterms:W3CDTF">2024-11-20T09:16:00Z</dcterms:created>
  <dcterms:modified xsi:type="dcterms:W3CDTF">2025-08-01T03:16:00Z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1dfca8c8-57c8-4e14-a813-20f66aca1152</vt:lpwstr>
  </property>
</Properties>
</file>